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26E0" w14:textId="77777777" w:rsidR="001B3E99" w:rsidRDefault="001B3E99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96A6486" w14:textId="77777777" w:rsidR="001B3E99" w:rsidRDefault="001B3E99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F39FB" w14:textId="6465C639" w:rsidR="001B3E99" w:rsidRPr="00372ED5" w:rsidRDefault="00000000">
      <w:pPr>
        <w:spacing w:line="276" w:lineRule="auto"/>
        <w:jc w:val="center"/>
        <w:rPr>
          <w:rFonts w:asciiTheme="minorHAnsi" w:hAnsiTheme="minorHAnsi" w:cstheme="minorHAnsi"/>
          <w:b/>
          <w:bCs/>
          <w:color w:val="007BB8"/>
          <w:u w:val="single"/>
        </w:rPr>
      </w:pPr>
      <w:r w:rsidRPr="00372ED5">
        <w:rPr>
          <w:rFonts w:asciiTheme="minorHAnsi" w:hAnsiTheme="minorHAnsi" w:cstheme="minorHAnsi"/>
          <w:b/>
          <w:bCs/>
          <w:color w:val="007BB8"/>
          <w:u w:val="single"/>
        </w:rPr>
        <w:t>Ochrana životního prostředí je pro naš</w:t>
      </w:r>
      <w:r w:rsidR="00372ED5" w:rsidRPr="00372ED5">
        <w:rPr>
          <w:rFonts w:asciiTheme="minorHAnsi" w:hAnsiTheme="minorHAnsi" w:cstheme="minorHAnsi"/>
          <w:b/>
          <w:bCs/>
          <w:color w:val="007BB8"/>
          <w:u w:val="single"/>
        </w:rPr>
        <w:t>e</w:t>
      </w:r>
      <w:r w:rsidRPr="00372ED5">
        <w:rPr>
          <w:rFonts w:asciiTheme="minorHAnsi" w:hAnsiTheme="minorHAnsi" w:cstheme="minorHAnsi"/>
          <w:b/>
          <w:bCs/>
          <w:color w:val="007BB8"/>
          <w:u w:val="single"/>
        </w:rPr>
        <w:t xml:space="preserve"> </w:t>
      </w:r>
      <w:r w:rsidR="00372ED5" w:rsidRPr="00372ED5">
        <w:rPr>
          <w:rFonts w:asciiTheme="minorHAnsi" w:hAnsiTheme="minorHAnsi" w:cstheme="minorHAnsi"/>
          <w:b/>
          <w:bCs/>
          <w:color w:val="007BB8"/>
          <w:u w:val="single"/>
        </w:rPr>
        <w:t>město Přimda</w:t>
      </w:r>
      <w:r w:rsidRPr="00372ED5">
        <w:rPr>
          <w:rFonts w:asciiTheme="minorHAnsi" w:hAnsiTheme="minorHAnsi" w:cstheme="minorHAnsi"/>
          <w:b/>
          <w:bCs/>
          <w:color w:val="007BB8"/>
          <w:u w:val="single"/>
        </w:rPr>
        <w:t xml:space="preserve"> prioritou</w:t>
      </w:r>
    </w:p>
    <w:p w14:paraId="248008BC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EDBD0C3" w14:textId="4A2A20B8" w:rsidR="001B3E99" w:rsidRPr="00372ED5" w:rsidRDefault="0000000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72ED5">
        <w:rPr>
          <w:rFonts w:asciiTheme="minorHAnsi" w:hAnsiTheme="minorHAnsi" w:cstheme="minorHAnsi"/>
          <w:sz w:val="22"/>
          <w:szCs w:val="22"/>
        </w:rPr>
        <w:t xml:space="preserve">Elektrospotřebiče jsou běžnou součástí našeho každodenního života a jen těžko si jej bez nich dokážeme představit. Elektroodpad je tak v současné době jedním z nejrychleji rostoucích druhů odpadu. </w:t>
      </w:r>
      <w:r w:rsidRPr="00372ED5">
        <w:rPr>
          <w:rFonts w:asciiTheme="minorHAnsi" w:hAnsiTheme="minorHAnsi" w:cstheme="minorHAnsi"/>
          <w:b/>
          <w:bCs/>
          <w:sz w:val="22"/>
          <w:szCs w:val="22"/>
        </w:rPr>
        <w:t xml:space="preserve">Pro zajištění sběru a recyklace již vysloužilých elektrozařízení si naše </w:t>
      </w:r>
      <w:bookmarkStart w:id="0" w:name="_Hlk96506340"/>
      <w:r w:rsidR="00372ED5" w:rsidRPr="00372ED5">
        <w:rPr>
          <w:rFonts w:asciiTheme="minorHAnsi" w:hAnsiTheme="minorHAnsi" w:cstheme="minorHAnsi"/>
          <w:b/>
          <w:bCs/>
          <w:sz w:val="22"/>
          <w:szCs w:val="22"/>
        </w:rPr>
        <w:t>město Přimda</w:t>
      </w:r>
      <w:r w:rsidRPr="00372ED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bookmarkEnd w:id="0"/>
      <w:r w:rsidRPr="00372ED5">
        <w:rPr>
          <w:rFonts w:asciiTheme="minorHAnsi" w:hAnsiTheme="minorHAnsi" w:cstheme="minorHAnsi"/>
          <w:b/>
          <w:bCs/>
          <w:sz w:val="22"/>
          <w:szCs w:val="22"/>
        </w:rPr>
        <w:t>vybral</w:t>
      </w:r>
      <w:r w:rsidR="00372ED5" w:rsidRPr="00372ED5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372ED5">
        <w:rPr>
          <w:rFonts w:asciiTheme="minorHAnsi" w:hAnsiTheme="minorHAnsi" w:cstheme="minorHAnsi"/>
          <w:b/>
          <w:bCs/>
          <w:sz w:val="22"/>
          <w:szCs w:val="22"/>
        </w:rPr>
        <w:t xml:space="preserve"> ke spolupráci kolektivní systém ASEKOL.</w:t>
      </w:r>
      <w:r w:rsidRPr="00372ED5">
        <w:rPr>
          <w:rFonts w:asciiTheme="minorHAnsi" w:hAnsiTheme="minorHAnsi" w:cstheme="minorHAnsi"/>
          <w:sz w:val="22"/>
          <w:szCs w:val="22"/>
        </w:rPr>
        <w:t xml:space="preserve"> Elektroodpad obsahuje řadu zdraví škodlivých materiálů a díky zajištění ekologické recyklace vysloužilých elektrozařízení přispíváme k ochraně životního prostředí. Recyklace navíc umožňuje opětovné materiálové využití a patří mezi základní principy cirkulární ekonomiky. Míra opětovného materiálového využití je velmi vysoká a dle jednotlivých typů výrobků dosahuje až 95 %.</w:t>
      </w:r>
    </w:p>
    <w:p w14:paraId="31E4B915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E9D3837" w14:textId="0D7DDB47" w:rsidR="001B3E99" w:rsidRDefault="00000000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Jakým rozsahem naše </w:t>
      </w:r>
      <w:r w:rsidR="00372ED5">
        <w:rPr>
          <w:rFonts w:asciiTheme="minorHAnsi" w:hAnsiTheme="minorHAnsi" w:cstheme="minorHAnsi"/>
          <w:b/>
          <w:bCs/>
          <w:sz w:val="22"/>
          <w:szCs w:val="22"/>
        </w:rPr>
        <w:t>město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konkrétně přispěl</w:t>
      </w:r>
      <w:r w:rsidR="00372ED5">
        <w:rPr>
          <w:rFonts w:asciiTheme="minorHAnsi" w:hAnsiTheme="minorHAnsi" w:cstheme="minorHAnsi"/>
          <w:b/>
          <w:bCs/>
          <w:sz w:val="22"/>
          <w:szCs w:val="22"/>
        </w:rPr>
        <w:t>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k úsporám na životním prostředí, se dozvídáme z environmentálního vyúčtování zpracovaného společností ASEKOL. Díky zodpovědné recyklaci vznikají úspory vyčíslené např. na spotřebu elektrické energie, primární suroviny, vodu, okyselování prostředí a produkci skleníkových plynů.</w:t>
      </w:r>
    </w:p>
    <w:p w14:paraId="60826ACC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4805A1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0CAC16" w14:textId="20A9A907" w:rsidR="001B3E99" w:rsidRPr="005A7159" w:rsidRDefault="00000000">
      <w:pPr>
        <w:spacing w:line="276" w:lineRule="auto"/>
        <w:jc w:val="both"/>
        <w:rPr>
          <w:rFonts w:asciiTheme="minorHAnsi" w:hAnsiTheme="minorHAnsi" w:cstheme="minorHAnsi"/>
          <w:b/>
          <w:bCs/>
          <w:color w:val="007BB8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Certifikát environmentálního vyúčtování vyčísluje přínos naš</w:t>
      </w:r>
      <w:r w:rsidR="00372ED5">
        <w:rPr>
          <w:rFonts w:asciiTheme="minorHAnsi" w:hAnsiTheme="minorHAnsi" w:cstheme="minorHAnsi"/>
          <w:sz w:val="22"/>
          <w:szCs w:val="22"/>
        </w:rPr>
        <w:t>eho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72ED5">
        <w:rPr>
          <w:rFonts w:asciiTheme="minorHAnsi" w:hAnsiTheme="minorHAnsi" w:cstheme="minorHAnsi"/>
          <w:sz w:val="22"/>
          <w:szCs w:val="22"/>
        </w:rPr>
        <w:t>města</w:t>
      </w:r>
      <w:r>
        <w:rPr>
          <w:rFonts w:asciiTheme="minorHAnsi" w:hAnsiTheme="minorHAnsi" w:cstheme="minorHAnsi"/>
          <w:sz w:val="22"/>
          <w:szCs w:val="22"/>
        </w:rPr>
        <w:t xml:space="preserve"> k ochraně životního prostředí v roce 2025. Vyplývá z něj, že 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>díky množství námi odevzdaných</w:t>
      </w:r>
      <w:r w:rsidRPr="005A7159">
        <w:rPr>
          <w:rFonts w:asciiTheme="minorHAnsi" w:hAnsiTheme="minorHAnsi" w:cstheme="minorHAnsi"/>
          <w:color w:val="007BB8"/>
          <w:sz w:val="22"/>
          <w:szCs w:val="22"/>
        </w:rPr>
        <w:t xml:space="preserve"> 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elektrozařízení jsme uspořili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2,15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</w:t>
      </w:r>
      <w:proofErr w:type="spellStart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>MWh</w:t>
      </w:r>
      <w:proofErr w:type="spellEnd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elektřiny,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155,22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litrů ropy,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83,22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m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  <w:vertAlign w:val="superscript"/>
        </w:rPr>
        <w:t>3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vody a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0,49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tun primárních surovin. Navíc jsme snížili emise skleníkových plynů CO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  <w:vertAlign w:val="subscript"/>
        </w:rPr>
        <w:t>2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</w:t>
      </w:r>
      <w:proofErr w:type="spellStart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>ekv</w:t>
      </w:r>
      <w:proofErr w:type="spellEnd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. o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0,68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tun, a produkci SO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  <w:vertAlign w:val="subscript"/>
        </w:rPr>
        <w:t>2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</w:t>
      </w:r>
      <w:proofErr w:type="spellStart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>ekv</w:t>
      </w:r>
      <w:proofErr w:type="spellEnd"/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>. (který zapříčiňuje okyselování prostředí)</w:t>
      </w:r>
      <w:r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 xml:space="preserve"> o </w:t>
      </w:r>
      <w:r w:rsidR="00372ED5" w:rsidRPr="005A7159">
        <w:rPr>
          <w:rFonts w:asciiTheme="minorHAnsi" w:hAnsiTheme="minorHAnsi" w:cstheme="minorHAnsi"/>
          <w:b/>
          <w:bCs/>
          <w:i/>
          <w:iCs/>
          <w:color w:val="007BB8"/>
          <w:sz w:val="22"/>
          <w:szCs w:val="22"/>
        </w:rPr>
        <w:t>8,36</w:t>
      </w:r>
      <w:r w:rsidRPr="005A7159">
        <w:rPr>
          <w:rFonts w:asciiTheme="minorHAnsi" w:hAnsiTheme="minorHAnsi" w:cstheme="minorHAnsi"/>
          <w:b/>
          <w:bCs/>
          <w:color w:val="007BB8"/>
          <w:sz w:val="22"/>
          <w:szCs w:val="22"/>
        </w:rPr>
        <w:t xml:space="preserve"> kg.</w:t>
      </w:r>
    </w:p>
    <w:p w14:paraId="45327D1E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F6B96C" w14:textId="77777777" w:rsidR="001B3E99" w:rsidRPr="00372ED5" w:rsidRDefault="00000000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Každý kus vytříděného elektra se počítá, což dokazuje příklad 100 vytříděných notebooků, které uspoří 10 </w:t>
      </w:r>
      <w:proofErr w:type="spellStart"/>
      <w:r>
        <w:rPr>
          <w:rFonts w:asciiTheme="minorHAnsi" w:hAnsiTheme="minorHAnsi" w:cstheme="minorHAnsi"/>
          <w:sz w:val="22"/>
          <w:szCs w:val="22"/>
        </w:rPr>
        <w:t>MWh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elektřiny. Takové množství odpovídá 3leté spotřebě elektřiny rodiny žijící ve standardním bytu. Za 100 kg vytříděných elektrospotřebičů se ušetří takové množství ropy, které by stačilo na výrobu benzínu pro cestu z Prahy do Paříže. </w:t>
      </w:r>
      <w:r w:rsidRPr="00372ED5">
        <w:rPr>
          <w:rFonts w:asciiTheme="minorHAnsi" w:hAnsiTheme="minorHAnsi" w:cstheme="minorHAnsi"/>
          <w:b/>
          <w:bCs/>
          <w:sz w:val="22"/>
          <w:szCs w:val="22"/>
        </w:rPr>
        <w:t>Děkujeme všem, kteří pečlivě třídí odpad a přispívají tak k ochraně životního prostředí a trvalé udržitelnosti.</w:t>
      </w:r>
    </w:p>
    <w:p w14:paraId="60342FAF" w14:textId="77777777" w:rsidR="001B3E99" w:rsidRDefault="001B3E9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164967" w14:textId="77777777" w:rsidR="001B3E99" w:rsidRDefault="0000000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Environmentální vyúčtování je vypočítáváno pomocí studie životního cyklu výrobku (tzv. LCA –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Life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Cycle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Assessment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), která vypovídá o dopadech výroby a recyklace jednotlivých elektrozařízení na životní prostředí. Studie zohledňuje všech 6 skupin elektrospotřebičů, jejichž zpětný odběr kolektivní systém ASEKOL zajišťuje.</w:t>
      </w:r>
    </w:p>
    <w:p w14:paraId="6B0AE5C8" w14:textId="77777777" w:rsidR="001B3E99" w:rsidRDefault="001B3E9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1B3E9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0255" w14:textId="77777777" w:rsidR="005F64A9" w:rsidRDefault="005F64A9">
      <w:r>
        <w:separator/>
      </w:r>
    </w:p>
  </w:endnote>
  <w:endnote w:type="continuationSeparator" w:id="0">
    <w:p w14:paraId="06B4830F" w14:textId="77777777" w:rsidR="005F64A9" w:rsidRDefault="005F6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6C5D1" w14:textId="77777777" w:rsidR="005F64A9" w:rsidRDefault="005F64A9">
      <w:r>
        <w:separator/>
      </w:r>
    </w:p>
  </w:footnote>
  <w:footnote w:type="continuationSeparator" w:id="0">
    <w:p w14:paraId="72E7A03D" w14:textId="77777777" w:rsidR="005F64A9" w:rsidRDefault="005F6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E99"/>
    <w:rsid w:val="001B3E99"/>
    <w:rsid w:val="00372ED5"/>
    <w:rsid w:val="005A7159"/>
    <w:rsid w:val="005F64A9"/>
    <w:rsid w:val="00782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3BB2"/>
  <w15:docId w15:val="{DBA8F105-8466-4EE7-947B-EDFC0A33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uiPriority w:val="10"/>
    <w:qFormat/>
    <w:pPr>
      <w:widowControl/>
      <w:suppressAutoHyphens w:val="0"/>
      <w:jc w:val="center"/>
    </w:pPr>
    <w:rPr>
      <w:rFonts w:ascii="Arial" w:eastAsia="Times New Roman" w:hAnsi="Arial" w:cs="Arial"/>
      <w:b/>
      <w:bCs/>
      <w:sz w:val="32"/>
      <w:lang w:eastAsia="cs-CZ" w:bidi="ar-SA"/>
    </w:rPr>
  </w:style>
  <w:style w:type="paragraph" w:styleId="Zkladntext">
    <w:name w:val="Body Text"/>
    <w:basedOn w:val="Normln"/>
    <w:link w:val="ZkladntextChar"/>
    <w:pPr>
      <w:spacing w:after="120"/>
    </w:pPr>
    <w:rPr>
      <w:kern w:val="1"/>
    </w:rPr>
  </w:style>
  <w:style w:type="paragraph" w:styleId="Textbubliny">
    <w:name w:val="Balloon Text"/>
    <w:basedOn w:val="Normln"/>
    <w:link w:val="TextbublinyChar"/>
    <w:semiHidden/>
    <w:rPr>
      <w:rFonts w:ascii="Segoe UI" w:hAnsi="Segoe UI"/>
      <w:sz w:val="18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semiHidden/>
    <w:rPr>
      <w:b/>
      <w:bCs/>
    </w:rPr>
  </w:style>
  <w:style w:type="paragraph" w:styleId="Textpoznpodarou">
    <w:name w:val="footnote text"/>
    <w:link w:val="TextpoznpodarouChar"/>
    <w:semiHidden/>
    <w:pPr>
      <w:spacing w:after="0" w:line="240" w:lineRule="auto"/>
    </w:pPr>
    <w:rPr>
      <w:sz w:val="20"/>
      <w:szCs w:val="20"/>
    </w:rPr>
  </w:style>
  <w:style w:type="paragraph" w:styleId="Textvysvtlivek">
    <w:name w:val="endnote text"/>
    <w:link w:val="TextvysvtlivekChar"/>
    <w:semiHidden/>
    <w:pPr>
      <w:spacing w:after="0" w:line="240" w:lineRule="auto"/>
    </w:pPr>
    <w:rPr>
      <w:sz w:val="20"/>
      <w:szCs w:val="20"/>
    </w:rPr>
  </w:style>
  <w:style w:type="character" w:styleId="slodku">
    <w:name w:val="line number"/>
    <w:basedOn w:val="Standardnpsmoodstavce"/>
    <w:semiHidden/>
  </w:style>
  <w:style w:type="character" w:styleId="Hypertextovodkaz">
    <w:name w:val="Hyperlink"/>
    <w:rPr>
      <w:color w:val="0000FF"/>
      <w:u w:val="single"/>
    </w:rPr>
  </w:style>
  <w:style w:type="character" w:customStyle="1" w:styleId="NzevChar">
    <w:name w:val="Název Char"/>
    <w:basedOn w:val="Standardnpsmoodstavce"/>
    <w:link w:val="Nzev"/>
    <w:rPr>
      <w:rFonts w:ascii="Arial" w:eastAsia="Times New Roman" w:hAnsi="Arial" w:cs="Arial"/>
      <w:b/>
      <w:b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xtbublinyChar">
    <w:name w:val="Text bubliny Char"/>
    <w:basedOn w:val="Standardnpsmoodstavce"/>
    <w:link w:val="Textbubliny"/>
    <w:semiHidden/>
    <w:rPr>
      <w:rFonts w:ascii="Segoe UI" w:eastAsia="SimSun" w:hAnsi="Segoe UI" w:cs="Mangal"/>
      <w:kern w:val="2"/>
      <w:sz w:val="18"/>
      <w:szCs w:val="16"/>
      <w:lang w:eastAsia="hi-IN" w:bidi="hi-IN"/>
    </w:rPr>
  </w:style>
  <w:style w:type="character" w:styleId="Odkaznakoment">
    <w:name w:val="annotation reference"/>
    <w:basedOn w:val="Standardnpsmoodstavce"/>
    <w:semiHidden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semiHidden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character" w:customStyle="1" w:styleId="PedmtkomenteChar">
    <w:name w:val="Předmět komentáře Char"/>
    <w:basedOn w:val="TextkomenteChar"/>
    <w:link w:val="Pedmtkomente"/>
    <w:semiHidden/>
    <w:rPr>
      <w:rFonts w:ascii="Times New Roman" w:eastAsia="SimSun" w:hAnsi="Times New Roman" w:cs="Mangal"/>
      <w:b/>
      <w:bCs/>
      <w:kern w:val="2"/>
      <w:sz w:val="20"/>
      <w:szCs w:val="18"/>
      <w:lang w:eastAsia="hi-IN" w:bidi="hi-IN"/>
    </w:rPr>
  </w:style>
  <w:style w:type="character" w:styleId="Znakapoznpodarou">
    <w:name w:val="footnote reference"/>
    <w:semiHidden/>
    <w:rPr>
      <w:vertAlign w:val="superscript"/>
    </w:rPr>
  </w:style>
  <w:style w:type="character" w:customStyle="1" w:styleId="TextpoznpodarouChar">
    <w:name w:val="Text pozn. pod čarou Char"/>
    <w:link w:val="Textpoznpodarou"/>
    <w:semiHidden/>
    <w:rPr>
      <w:sz w:val="20"/>
      <w:szCs w:val="20"/>
    </w:rPr>
  </w:style>
  <w:style w:type="character" w:styleId="Odkaznavysvtlivky">
    <w:name w:val="endnote reference"/>
    <w:semiHidden/>
    <w:rPr>
      <w:vertAlign w:val="superscript"/>
    </w:rPr>
  </w:style>
  <w:style w:type="character" w:customStyle="1" w:styleId="TextvysvtlivekChar">
    <w:name w:val="Text vysvětlivek Char"/>
    <w:link w:val="Textvysvtlivek"/>
    <w:semiHidden/>
    <w:rPr>
      <w:sz w:val="20"/>
      <w:szCs w:val="20"/>
    </w:rPr>
  </w:style>
  <w:style w:type="table" w:styleId="Jednoduchtabulka1">
    <w:name w:val="Table Simple 1"/>
    <w:basedOn w:val="Normlntabulk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E9B18D8EC364890B7E5ACA3C80234" ma:contentTypeVersion="18" ma:contentTypeDescription="Create a new document." ma:contentTypeScope="" ma:versionID="7e27dc8b2e1770a7e4b1b81f3a811aab">
  <xsd:schema xmlns:xsd="http://www.w3.org/2001/XMLSchema" xmlns:xs="http://www.w3.org/2001/XMLSchema" xmlns:p="http://schemas.microsoft.com/office/2006/metadata/properties" xmlns:ns2="543323b7-d62f-4d47-ba40-3ddd29c4b25d" xmlns:ns3="3236b86f-095e-4fa6-87b2-8a7269dddb00" targetNamespace="http://schemas.microsoft.com/office/2006/metadata/properties" ma:root="true" ma:fieldsID="c408d1d1de4c8ad2b1dd13fb0887c741" ns2:_="" ns3:_="">
    <xsd:import namespace="543323b7-d62f-4d47-ba40-3ddd29c4b25d"/>
    <xsd:import namespace="3236b86f-095e-4fa6-87b2-8a7269dddb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323b7-d62f-4d47-ba40-3ddd29c4b2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543ed4-0686-4c92-85fc-27035fec10a4}" ma:internalName="TaxCatchAll" ma:showField="CatchAllData" ma:web="543323b7-d62f-4d47-ba40-3ddd29c4b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6b86f-095e-4fa6-87b2-8a7269ddd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4458f4-b9b0-4ffa-b947-e9213be380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3323b7-d62f-4d47-ba40-3ddd29c4b25d" xsi:nil="true"/>
    <lcf76f155ced4ddcb4097134ff3c332f xmlns="3236b86f-095e-4fa6-87b2-8a7269dddb0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AA3D6-65D2-49D2-A15D-AE897294F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323b7-d62f-4d47-ba40-3ddd29c4b25d"/>
    <ds:schemaRef ds:uri="3236b86f-095e-4fa6-87b2-8a7269ddd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6D8B8-29F7-4F44-8D89-86806169D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AF699-E940-408D-BC2F-1647AB6DE6C0}">
  <ds:schemaRefs>
    <ds:schemaRef ds:uri="http://schemas.microsoft.com/office/2006/metadata/properties"/>
    <ds:schemaRef ds:uri="http://schemas.microsoft.com/office/infopath/2007/PartnerControls"/>
    <ds:schemaRef ds:uri="543323b7-d62f-4d47-ba40-3ddd29c4b25d"/>
    <ds:schemaRef ds:uri="3236b86f-095e-4fa6-87b2-8a7269dddb00"/>
  </ds:schemaRefs>
</ds:datastoreItem>
</file>

<file path=customXml/itemProps4.xml><?xml version="1.0" encoding="utf-8"?>
<ds:datastoreItem xmlns:ds="http://schemas.openxmlformats.org/officeDocument/2006/customXml" ds:itemID="{358DB827-DE8E-45E3-AC1E-F54031C7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Němcová</dc:creator>
  <cp:lastModifiedBy>Uživatel</cp:lastModifiedBy>
  <cp:revision>2</cp:revision>
  <dcterms:created xsi:type="dcterms:W3CDTF">2026-02-02T07:42:00Z</dcterms:created>
  <dcterms:modified xsi:type="dcterms:W3CDTF">2026-02-02T07:42:00Z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08bede-62ef-4e9c-8811-d36c1b1f7687_Enabled">
    <vt:lpwstr>True</vt:lpwstr>
  </property>
  <property fmtid="{D5CDD505-2E9C-101B-9397-08002B2CF9AE}" pid="3" name="MSIP_Label_bf08bede-62ef-4e9c-8811-d36c1b1f7687_SiteId">
    <vt:lpwstr>b26e564a-bd86-4cc5-9677-47dde4b23796</vt:lpwstr>
  </property>
  <property fmtid="{D5CDD505-2E9C-101B-9397-08002B2CF9AE}" pid="4" name="MSIP_Label_bf08bede-62ef-4e9c-8811-d36c1b1f7687_Owner">
    <vt:lpwstr>hejclova@ASEKOL.CZ</vt:lpwstr>
  </property>
  <property fmtid="{D5CDD505-2E9C-101B-9397-08002B2CF9AE}" pid="5" name="MSIP_Label_bf08bede-62ef-4e9c-8811-d36c1b1f7687_SetDate">
    <vt:lpwstr>2020-06-22T13:31:17.4849594Z</vt:lpwstr>
  </property>
  <property fmtid="{D5CDD505-2E9C-101B-9397-08002B2CF9AE}" pid="6" name="MSIP_Label_bf08bede-62ef-4e9c-8811-d36c1b1f7687_Name">
    <vt:lpwstr>Public</vt:lpwstr>
  </property>
  <property fmtid="{D5CDD505-2E9C-101B-9397-08002B2CF9AE}" pid="7" name="MSIP_Label_bf08bede-62ef-4e9c-8811-d36c1b1f7687_Application">
    <vt:lpwstr>Microsoft Azure Information Protection</vt:lpwstr>
  </property>
  <property fmtid="{D5CDD505-2E9C-101B-9397-08002B2CF9AE}" pid="8" name="MSIP_Label_bf08bede-62ef-4e9c-8811-d36c1b1f7687_ActionId">
    <vt:lpwstr>68dbd5fe-f653-4d78-816c-9827656b57af</vt:lpwstr>
  </property>
  <property fmtid="{D5CDD505-2E9C-101B-9397-08002B2CF9AE}" pid="9" name="MSIP_Label_bf08bede-62ef-4e9c-8811-d36c1b1f7687_Extended_MSFT_Method">
    <vt:lpwstr>Automatic</vt:lpwstr>
  </property>
  <property fmtid="{D5CDD505-2E9C-101B-9397-08002B2CF9AE}" pid="10" name="Sensitivity">
    <vt:lpwstr>Public</vt:lpwstr>
  </property>
  <property fmtid="{D5CDD505-2E9C-101B-9397-08002B2CF9AE}" pid="11" name="ContentTypeId">
    <vt:lpwstr>0x010100BF7E9B18D8EC364890B7E5ACA3C80234</vt:lpwstr>
  </property>
</Properties>
</file>